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28</w:t>
      </w:r>
      <w:r>
        <w:rPr>
          <w:rFonts w:cs="Tahoma" w:ascii="Century Schoolbook L" w:hAnsi="Century Schoolbook L"/>
          <w:b/>
          <w:sz w:val="24"/>
          <w:vertAlign w:val="superscript"/>
        </w:rPr>
        <w:t>th</w:t>
      </w:r>
      <w:r>
        <w:rPr>
          <w:rFonts w:cs="Tahoma" w:ascii="Century Schoolbook L" w:hAnsi="Century Schoolbook L"/>
          <w:b/>
          <w:sz w:val="24"/>
        </w:rPr>
        <w:t xml:space="preserve"> November 2017</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sz w:val="22"/>
          <w:szCs w:val="22"/>
          <w:shd w:fill="FFFFFF" w:val="clear"/>
        </w:rPr>
        <w:tab/>
        <w:t xml:space="preserve">Fred Geddes, </w:t>
      </w:r>
      <w:r>
        <w:rPr>
          <w:rFonts w:cs="Tahoma" w:ascii="Century Schoolbook L" w:hAnsi="Century Schoolbook L"/>
          <w:b w:val="false"/>
          <w:bCs w:val="false"/>
          <w:sz w:val="22"/>
          <w:szCs w:val="22"/>
          <w:shd w:fill="FFFFFF" w:val="clear"/>
        </w:rPr>
        <w:t>Cameron Kemp,</w:t>
      </w:r>
      <w:r>
        <w:rPr>
          <w:rFonts w:cs="Tahoma" w:ascii="Century Schoolbook L" w:hAnsi="Century Schoolbook L"/>
          <w:sz w:val="22"/>
          <w:szCs w:val="22"/>
          <w:shd w:fill="FFFFFF" w:val="clear"/>
        </w:rPr>
        <w:t xml:space="preserve"> Alistair MacNeil.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sz w:val="22"/>
          <w:szCs w:val="22"/>
          <w:shd w:fill="FFFFFF" w:val="clear"/>
        </w:rPr>
        <w:t xml:space="preserve">P.C. Scott Maclean, </w:t>
      </w:r>
      <w:r>
        <w:rPr>
          <w:rFonts w:cs="Tahoma" w:ascii="Century Schoolbook L" w:hAnsi="Century Schoolbook L"/>
          <w:sz w:val="22"/>
          <w:szCs w:val="22"/>
        </w:rPr>
        <w:t>Lindsey Stout (Minutes Secretary).</w:t>
      </w:r>
    </w:p>
    <w:p>
      <w:pPr>
        <w:pStyle w:val="ListParagraph"/>
        <w:ind w:left="720" w:hanging="0"/>
        <w:rPr>
          <w:rFonts w:ascii="Century Schoolbook L" w:hAnsi="Century Schoolbook L" w:cs="Tahoma"/>
          <w:sz w:val="22"/>
          <w:szCs w:val="22"/>
        </w:rPr>
      </w:pPr>
      <w:r>
        <w:rPr>
          <w:rFonts w:cs="Tahoma" w:ascii="Century Schoolbook L" w:hAnsi="Century Schoolbook L"/>
          <w:sz w:val="22"/>
          <w:szCs w:val="22"/>
        </w:rPr>
      </w:r>
    </w:p>
    <w:p>
      <w:pPr>
        <w:pStyle w:val="Normal"/>
        <w:rPr>
          <w:b w:val="false"/>
          <w:b w:val="false"/>
          <w:bCs w:val="false"/>
        </w:rPr>
      </w:pPr>
      <w:r>
        <w:rPr>
          <w:rFonts w:cs="Tahoma" w:ascii="Century Schoolbook L" w:hAnsi="Century Schoolbook L"/>
          <w:b/>
          <w:sz w:val="22"/>
          <w:szCs w:val="22"/>
        </w:rPr>
        <w:t xml:space="preserve">Apologies </w:t>
      </w:r>
    </w:p>
    <w:p>
      <w:pPr>
        <w:pStyle w:val="ListParagraph"/>
        <w:ind w:left="720" w:hanging="0"/>
        <w:rPr/>
      </w:pPr>
      <w:r>
        <w:rPr>
          <w:rFonts w:cs="Tahoma" w:ascii="Century Schoolbook L" w:hAnsi="Century Schoolbook L"/>
          <w:b w:val="false"/>
          <w:bCs w:val="false"/>
          <w:sz w:val="22"/>
          <w:szCs w:val="22"/>
          <w:shd w:fill="FFFFFF" w:val="clear"/>
        </w:rPr>
        <w:t>Chris Heaton-Armstrong, Cllr. Margaret Davidson, Cllr. Emma Knox, Judith Rumbold, Ian Weir, Karen Young.</w:t>
      </w:r>
    </w:p>
    <w:p>
      <w:pPr>
        <w:pStyle w:val="Normal"/>
        <w:ind w:left="426" w:hanging="426"/>
        <w:rPr>
          <w:rFonts w:ascii="Tahoma" w:hAnsi="Tahoma" w:cs="Tahoma"/>
        </w:rPr>
      </w:pPr>
      <w:r>
        <w:rPr>
          <w:rFonts w:cs="Tahoma" w:ascii="Tahoma" w:hAnsi="Tahoma"/>
        </w:rPr>
      </w:r>
    </w:p>
    <w:tbl>
      <w:tblPr>
        <w:tblStyle w:val="TableGrid"/>
        <w:tblW w:w="10258" w:type="dxa"/>
        <w:jc w:val="left"/>
        <w:tblInd w:w="-150" w:type="dxa"/>
        <w:tblCellMar>
          <w:top w:w="0" w:type="dxa"/>
          <w:left w:w="-5" w:type="dxa"/>
          <w:bottom w:w="0" w:type="dxa"/>
          <w:right w:w="108" w:type="dxa"/>
        </w:tblCellMar>
        <w:tblLook w:noVBand="1" w:val="04a0" w:noHBand="0" w:lastColumn="0" w:firstColumn="1" w:lastRow="0" w:firstRow="1"/>
      </w:tblPr>
      <w:tblGrid>
        <w:gridCol w:w="9277"/>
        <w:gridCol w:w="980"/>
      </w:tblGrid>
      <w:tr>
        <w:trPr/>
        <w:tc>
          <w:tcPr>
            <w:tcW w:w="9277" w:type="dxa"/>
            <w:tcBorders/>
            <w:shd w:fill="auto" w:val="clear"/>
            <w:tcMar>
              <w:left w:w="-5" w:type="dxa"/>
            </w:tcMar>
          </w:tcPr>
          <w:p>
            <w:pPr>
              <w:pStyle w:val="TextBody"/>
              <w:jc w:val="left"/>
              <w:rPr/>
            </w:pPr>
            <w:r>
              <w:rPr>
                <w:rFonts w:cs="Tahoma" w:ascii="Century Schoolbook L" w:hAnsi="Century Schoolbook L"/>
                <w:b/>
                <w:bCs/>
                <w:sz w:val="22"/>
                <w:szCs w:val="22"/>
              </w:rPr>
              <w:t>1. Minutes of the meeting of 17</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October 2017</w:t>
            </w:r>
          </w:p>
          <w:p>
            <w:pPr>
              <w:pStyle w:val="TextBody"/>
              <w:spacing w:before="0" w:after="140"/>
              <w:jc w:val="left"/>
              <w:rPr/>
            </w:pPr>
            <w:r>
              <w:rPr>
                <w:rFonts w:cs="Tahoma" w:ascii="Century Schoolbook L" w:hAnsi="Century Schoolbook L"/>
                <w:sz w:val="22"/>
                <w:szCs w:val="22"/>
              </w:rPr>
              <w:t>Approved. Proposed by Alistair MacNeil, seconded by Fred Geddes.</w:t>
            </w:r>
          </w:p>
        </w:tc>
        <w:tc>
          <w:tcPr>
            <w:tcW w:w="980" w:type="dxa"/>
            <w:tcBorders/>
            <w:shd w:fill="auto" w:val="clear"/>
            <w:tcMar>
              <w:left w:w="-5" w:type="dxa"/>
            </w:tcMar>
          </w:tcPr>
          <w:p>
            <w:pPr>
              <w:pStyle w:val="Normal"/>
              <w:rPr>
                <w:rFonts w:ascii="Century Schoolbook L" w:hAnsi="Century Schoolbook L"/>
                <w:b/>
                <w:b/>
                <w:bCs/>
                <w:sz w:val="22"/>
                <w:szCs w:val="21"/>
              </w:rPr>
            </w:pPr>
            <w:r>
              <w:rPr>
                <w:rFonts w:cs="Tahoma" w:ascii="Century Schoolbook L" w:hAnsi="Century Schoolbook L"/>
                <w:b/>
                <w:bCs/>
                <w:sz w:val="22"/>
                <w:szCs w:val="21"/>
                <w:u w:val="single"/>
              </w:rPr>
              <w:t>Actions</w:t>
            </w:r>
          </w:p>
        </w:tc>
      </w:tr>
      <w:tr>
        <w:trPr/>
        <w:tc>
          <w:tcPr>
            <w:tcW w:w="9277" w:type="dxa"/>
            <w:tcBorders>
              <w:top w:val="nil"/>
            </w:tcBorders>
            <w:shd w:fill="auto" w:val="clear"/>
            <w:tcMar>
              <w:left w:w="-5" w:type="dxa"/>
            </w:tcMar>
          </w:tcPr>
          <w:p>
            <w:pPr>
              <w:pStyle w:val="TextBody"/>
              <w:jc w:val="left"/>
              <w:rPr/>
            </w:pPr>
            <w:r>
              <w:rPr>
                <w:rFonts w:ascii="Century Schoolbook L" w:hAnsi="Century Schoolbook L"/>
                <w:b/>
                <w:bCs/>
                <w:sz w:val="22"/>
                <w:szCs w:val="22"/>
              </w:rPr>
              <w:t xml:space="preserve">2. Matters Arising </w:t>
            </w:r>
            <w:r>
              <w:rPr>
                <w:rFonts w:cs="Tahoma" w:ascii="Century Schoolbook L" w:hAnsi="Century Schoolbook L"/>
                <w:b/>
                <w:bCs/>
                <w:sz w:val="22"/>
                <w:szCs w:val="22"/>
              </w:rPr>
              <w:t>of the meeting of 17</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October 2017</w:t>
            </w:r>
          </w:p>
          <w:p>
            <w:pPr>
              <w:pStyle w:val="Normal"/>
              <w:jc w:val="left"/>
              <w:rPr/>
            </w:pPr>
            <w:r>
              <w:rPr>
                <w:rFonts w:cs="Tahoma" w:ascii="Century Schoolbook L" w:hAnsi="Century Schoolbook L"/>
                <w:b/>
                <w:bCs/>
                <w:sz w:val="22"/>
                <w:szCs w:val="22"/>
                <w:u w:val="none"/>
              </w:rPr>
              <w:t>Defibrillator at Kirkhill Community Centre</w:t>
            </w:r>
          </w:p>
          <w:p>
            <w:pPr>
              <w:pStyle w:val="Normal"/>
              <w:jc w:val="left"/>
              <w:rPr>
                <w:rFonts w:ascii="Century Schoolbook L" w:hAnsi="Century Schoolbook L" w:cs="Tahoma"/>
                <w:b/>
                <w:b/>
                <w:bCs/>
                <w:sz w:val="22"/>
                <w:szCs w:val="22"/>
                <w:u w:val="none"/>
              </w:rPr>
            </w:pPr>
            <w:r>
              <w:rPr>
                <w:rFonts w:cs="Tahoma" w:ascii="Century Schoolbook L" w:hAnsi="Century Schoolbook L"/>
                <w:b/>
                <w:bCs/>
                <w:sz w:val="22"/>
                <w:szCs w:val="22"/>
                <w:u w:val="none"/>
              </w:rPr>
            </w:r>
          </w:p>
          <w:p>
            <w:pPr>
              <w:pStyle w:val="Normal"/>
              <w:jc w:val="left"/>
              <w:rPr/>
            </w:pPr>
            <w:r>
              <w:rPr>
                <w:rFonts w:cs="Tahoma" w:ascii="Century Schoolbook L" w:hAnsi="Century Schoolbook L"/>
                <w:b w:val="false"/>
                <w:bCs w:val="false"/>
                <w:sz w:val="22"/>
                <w:szCs w:val="22"/>
                <w:u w:val="none"/>
              </w:rPr>
              <w:t xml:space="preserve">Alistair MacNeil said that Chris Heaton-Armstrong was going to speak to Erik Lundberg of Kirkhill Community Centre to check whether the defibrillator requires maintenance checks, especially if it has a battery. Is there a maintenance agreement with the company which installed it and are annual checks required? Concerns had been raised by a member of the community regarding effectiveness of use if there is no maintenance plan in place. P.C. Scott Maclean said that he is at the Cannich Community Council meeting next week and he will ask about maintenance of defibrillators because they have one. </w:t>
            </w:r>
          </w:p>
          <w:p>
            <w:pPr>
              <w:pStyle w:val="Normal"/>
              <w:jc w:val="left"/>
              <w:rPr>
                <w:rFonts w:ascii="Century Schoolbook L" w:hAnsi="Century Schoolbook L" w:cs="Tahoma"/>
                <w:sz w:val="22"/>
                <w:szCs w:val="22"/>
                <w:u w:val="none"/>
              </w:rPr>
            </w:pPr>
            <w:r>
              <w:rPr>
                <w:rFonts w:cs="Tahoma" w:ascii="Century Schoolbook L" w:hAnsi="Century Schoolbook L"/>
                <w:sz w:val="22"/>
                <w:szCs w:val="22"/>
                <w:u w:val="none"/>
              </w:rPr>
            </w:r>
          </w:p>
        </w:tc>
        <w:tc>
          <w:tcPr>
            <w:tcW w:w="980"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tc>
      </w:tr>
      <w:tr>
        <w:trPr>
          <w:trHeight w:val="5477" w:hRule="atLeast"/>
        </w:trPr>
        <w:tc>
          <w:tcPr>
            <w:tcW w:w="9277" w:type="dxa"/>
            <w:tcBorders>
              <w:top w:val="nil"/>
            </w:tcBorders>
            <w:shd w:fill="auto" w:val="clear"/>
            <w:tcMar>
              <w:left w:w="-5" w:type="dxa"/>
            </w:tcMar>
          </w:tcPr>
          <w:p>
            <w:pPr>
              <w:pStyle w:val="Normal"/>
              <w:jc w:val="left"/>
              <w:rPr/>
            </w:pPr>
            <w:r>
              <w:rPr>
                <w:rFonts w:ascii="Century Schoolbook L" w:hAnsi="Century Schoolbook L"/>
                <w:b/>
                <w:bCs/>
                <w:sz w:val="22"/>
                <w:szCs w:val="22"/>
              </w:rPr>
              <w:t>3.  Police Report</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P.C. Scott Maclean was in attendance. There have been no police reports for a while because of email communication problems. The format of the police reports has changed and is now one report, subdivided into each area. Sergeant Julie Connor is now the contact for the Beauly and Aird area.</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 xml:space="preserve">In the August to October 2017 period for Kirkhill and the Aird area there were 16 calls to the police to report incidents or to ask for advice. There were two reports concerning the safety of people who had not been located, which were resolved when the persons were traced safe and well. Under traffic offences, there was one call regarding the manner of driving of a vehicle. </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In the October to November 2017 period, there were 24 calls but only 8 incidents of concern (calls may include minor advice sought or a report of sheep on the road). A cyclist and a driver were warned about their use of the roadway. A person was traced safe and well. There were no incidents of public disorder.</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P.C. Scott Maclean asked if there were any road traffic concerns in the area. The Community Council mentioned that there were still concerns over the speed of traffic in Inchmore.</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9277"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4. Planning Issues</w:t>
            </w:r>
          </w:p>
          <w:p>
            <w:pPr>
              <w:pStyle w:val="Normal"/>
              <w:jc w:val="left"/>
              <w:rPr>
                <w:rFonts w:ascii="Century Schoolbook L" w:hAnsi="Century Schoolbook L" w:eastAsia="Times New Roman" w:cs="Arial"/>
                <w:color w:val="222222"/>
                <w:sz w:val="22"/>
                <w:szCs w:val="22"/>
                <w:lang w:val="en" w:eastAsia="en-GB"/>
              </w:rPr>
            </w:pPr>
            <w:r>
              <w:rPr>
                <w:rFonts w:eastAsia="Times New Roman" w:cs="Arial" w:ascii="Century Schoolbook L" w:hAnsi="Century Schoolbook L"/>
                <w:color w:val="222222"/>
                <w:sz w:val="22"/>
                <w:szCs w:val="22"/>
                <w:lang w:val="en" w:eastAsia="en-GB"/>
              </w:rPr>
            </w:r>
          </w:p>
          <w:p>
            <w:pPr>
              <w:pStyle w:val="Normal"/>
              <w:jc w:val="left"/>
              <w:rPr/>
            </w:pPr>
            <w:r>
              <w:rPr>
                <w:rFonts w:eastAsia="Times New Roman" w:cs="Arial" w:ascii="Century Schoolbook L" w:hAnsi="Century Schoolbook L"/>
                <w:color w:val="222222"/>
                <w:sz w:val="22"/>
                <w:szCs w:val="22"/>
                <w:lang w:val="en" w:eastAsia="en-GB"/>
              </w:rPr>
              <w:t>In relation t</w:t>
            </w:r>
            <w:r>
              <w:rPr>
                <w:rFonts w:eastAsia="Times New Roman" w:cs="Arial" w:ascii="Century Schoolbook L" w:hAnsi="Century Schoolbook L"/>
                <w:color w:val="222222"/>
                <w:sz w:val="22"/>
                <w:szCs w:val="22"/>
                <w:shd w:fill="FFFFFF" w:val="clear"/>
                <w:lang w:val="en" w:eastAsia="en-GB"/>
              </w:rPr>
              <w:t>o Planning Application Ref. 15/04751/MSC  Erection of Managers House at Lentran by Brandon Landscaping Ltd and the discussion of potential planning enforcement issues at the meeting of 5</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September 2017 and 17</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October 2017,  Nicola Drummond, Area Manager South/Development has emailed to say that she has asked the enforcement team to follow this issue up. We are awaiting further response. There is no correspondence relating to this planning issue on the Planning website. The Community Council wish it to be recorded that they are disappointed with the lack of response from the Planning Office in the weeks since the query about planning issues had been raised. </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p>
            <w:pPr>
              <w:pStyle w:val="Normal"/>
              <w:jc w:val="left"/>
              <w:rPr/>
            </w:pPr>
            <w:r>
              <w:rPr>
                <w:rFonts w:eastAsia="Times New Roman" w:cs="Arial" w:ascii="Century Schoolbook L" w:hAnsi="Century Schoolbook L"/>
                <w:color w:val="222222"/>
                <w:sz w:val="22"/>
                <w:szCs w:val="22"/>
                <w:shd w:fill="FFFFFF" w:val="clear"/>
                <w:lang w:val="en" w:eastAsia="en-GB"/>
              </w:rPr>
              <w:t>No other planning issues were raised.</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9277"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5.  Inverness to Beauly Cycle Path</w:t>
            </w:r>
          </w:p>
          <w:p>
            <w:pPr>
              <w:pStyle w:val="Normal"/>
              <w:jc w:val="left"/>
              <w:rPr>
                <w:rFonts w:ascii="Century Schoolbook L" w:hAnsi="Century Schoolbook L" w:eastAsia="Times New Roman" w:cs="Arial"/>
                <w:b/>
                <w:b/>
                <w:bCs/>
                <w:color w:val="222222"/>
                <w:sz w:val="22"/>
                <w:szCs w:val="22"/>
                <w:lang w:val="en" w:eastAsia="en-GB"/>
              </w:rPr>
            </w:pPr>
            <w:bookmarkStart w:id="0" w:name="yiv5527294925yui_3_16_0_ym19_1_1510813033501_2437"/>
            <w:bookmarkEnd w:id="0"/>
            <w:r>
              <w:rPr>
                <w:rFonts w:eastAsia="Times New Roman" w:cs="Arial" w:ascii="Century Schoolbook L" w:hAnsi="Century Schoolbook L"/>
                <w:b/>
                <w:bCs/>
                <w:color w:val="222222"/>
                <w:sz w:val="22"/>
                <w:szCs w:val="22"/>
                <w:lang w:val="en" w:eastAsia="en-GB"/>
              </w:rPr>
              <w:t xml:space="preserve">     </w:t>
            </w:r>
            <w:r>
              <w:rPr>
                <w:rFonts w:eastAsia="Times New Roman" w:cs="Arial" w:ascii="Century Schoolbook L" w:hAnsi="Century Schoolbook L"/>
                <w:b/>
                <w:bCs/>
                <w:color w:val="222222"/>
                <w:sz w:val="22"/>
                <w:szCs w:val="22"/>
                <w:lang w:val="en" w:eastAsia="en-GB"/>
              </w:rPr>
              <w:t>Beauly to Inverness shared use route Phase 2</w:t>
            </w:r>
          </w:p>
          <w:p>
            <w:pPr>
              <w:pStyle w:val="Normal"/>
              <w:jc w:val="left"/>
              <w:rPr>
                <w:rFonts w:ascii="Century Schoolbook L" w:hAnsi="Century Schoolbook L" w:eastAsia="Times New Roman" w:cs="Arial"/>
                <w:b w:val="false"/>
                <w:b w:val="false"/>
                <w:bCs w:val="false"/>
                <w:color w:val="222222"/>
                <w:sz w:val="22"/>
                <w:szCs w:val="22"/>
                <w:lang w:val="en" w:eastAsia="en-GB"/>
              </w:rPr>
            </w:pPr>
            <w:r>
              <w:rPr>
                <w:rFonts w:eastAsia="Times New Roman" w:cs="Arial" w:ascii="Century Schoolbook L" w:hAnsi="Century Schoolbook L"/>
                <w:b w:val="false"/>
                <w:bCs w:val="false"/>
                <w:color w:val="222222"/>
                <w:sz w:val="22"/>
                <w:szCs w:val="22"/>
                <w:lang w:val="en" w:eastAsia="en-GB"/>
              </w:rPr>
            </w:r>
          </w:p>
          <w:p>
            <w:pPr>
              <w:pStyle w:val="Normal"/>
              <w:jc w:val="left"/>
              <w:rPr/>
            </w:pPr>
            <w:r>
              <w:rPr>
                <w:rFonts w:eastAsia="Times New Roman" w:cs="Arial" w:ascii="Century Schoolbook L" w:hAnsi="Century Schoolbook L"/>
                <w:b w:val="false"/>
                <w:bCs w:val="false"/>
                <w:color w:val="222222"/>
                <w:sz w:val="22"/>
                <w:szCs w:val="22"/>
                <w:lang w:val="en" w:eastAsia="en-GB"/>
              </w:rPr>
              <w:t xml:space="preserve">Cameron Kemp had received an email from Ged Church,  Trustee with responsibility for paths and active travel, Kirkhill &amp; Bunchrew Community Trust. Alistair MacNeil had also had a phone call. The Community Council are asked to support efforts to complete the next phase, </w:t>
            </w:r>
            <w:bookmarkStart w:id="1" w:name="yiv5527294925yui_3_16_0_ym19_1_1510813033501_24372"/>
            <w:bookmarkEnd w:id="1"/>
            <w:r>
              <w:rPr>
                <w:rFonts w:eastAsia="Times New Roman" w:cs="Arial" w:ascii="Century Schoolbook L" w:hAnsi="Century Schoolbook L"/>
                <w:b w:val="false"/>
                <w:bCs w:val="false"/>
                <w:color w:val="222222"/>
                <w:sz w:val="22"/>
                <w:szCs w:val="22"/>
                <w:lang w:val="en" w:eastAsia="en-GB"/>
              </w:rPr>
              <w:t>Beauly to Inverness shared use route Phase 2, a cycle path from Dumballoch Brae to Brockies Corner. Kirkhill &amp; Bunchrew Community Council agreed to reinforce its strong support of all that is being done to bring about a safe cycle route between Beauly and Inverness.</w:t>
            </w:r>
          </w:p>
          <w:p>
            <w:pPr>
              <w:pStyle w:val="Normal"/>
              <w:jc w:val="left"/>
              <w:rPr>
                <w:rFonts w:ascii="Century Schoolbook L" w:hAnsi="Century Schoolbook L" w:eastAsia="Times New Roman" w:cs="Arial"/>
                <w:b w:val="false"/>
                <w:b w:val="false"/>
                <w:bCs w:val="false"/>
                <w:color w:val="222222"/>
                <w:sz w:val="22"/>
                <w:szCs w:val="22"/>
                <w:lang w:val="en" w:eastAsia="en-GB"/>
              </w:rPr>
            </w:pPr>
            <w:r>
              <w:rPr>
                <w:rFonts w:eastAsia="Times New Roman" w:cs="Arial" w:ascii="Century Schoolbook L" w:hAnsi="Century Schoolbook L"/>
                <w:b w:val="false"/>
                <w:bCs w:val="false"/>
                <w:color w:val="222222"/>
                <w:sz w:val="22"/>
                <w:szCs w:val="22"/>
                <w:lang w:val="en" w:eastAsia="en-GB"/>
              </w:rPr>
            </w:r>
          </w:p>
          <w:p>
            <w:pPr>
              <w:pStyle w:val="Normal"/>
              <w:jc w:val="left"/>
              <w:rPr/>
            </w:pPr>
            <w:r>
              <w:rPr>
                <w:rFonts w:eastAsia="Times New Roman" w:cs="Arial" w:ascii="Century Schoolbook L" w:hAnsi="Century Schoolbook L"/>
                <w:b w:val="false"/>
                <w:bCs w:val="false"/>
                <w:color w:val="222222"/>
                <w:sz w:val="22"/>
                <w:szCs w:val="22"/>
                <w:lang w:val="en" w:eastAsia="en-GB"/>
              </w:rPr>
              <w:t>Cameron Kemp will send an email to Ged Church in support of this initiative.</w:t>
            </w:r>
          </w:p>
          <w:p>
            <w:pPr>
              <w:pStyle w:val="Normal"/>
              <w:jc w:val="left"/>
              <w:rPr>
                <w:rFonts w:ascii="Century Schoolbook L" w:hAnsi="Century Schoolbook L" w:eastAsia="Times New Roman" w:cs="Arial"/>
                <w:b w:val="false"/>
                <w:b w:val="false"/>
                <w:bCs w:val="false"/>
                <w:color w:val="222222"/>
                <w:sz w:val="22"/>
                <w:szCs w:val="22"/>
                <w:lang w:val="en" w:eastAsia="en-GB"/>
              </w:rPr>
            </w:pPr>
            <w:r>
              <w:rPr>
                <w:rFonts w:eastAsia="Times New Roman" w:cs="Arial" w:ascii="Century Schoolbook L" w:hAnsi="Century Schoolbook L"/>
                <w:b w:val="false"/>
                <w:bCs w:val="false"/>
                <w:color w:val="222222"/>
                <w:sz w:val="22"/>
                <w:szCs w:val="22"/>
                <w:lang w:val="en" w:eastAsia="en-GB"/>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6. Millennium Garden</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p>
            <w:pPr>
              <w:pStyle w:val="Normal"/>
              <w:jc w:val="left"/>
              <w:rPr/>
            </w:pPr>
            <w:r>
              <w:rPr>
                <w:rFonts w:eastAsia="Times New Roman" w:cs="Tahoma" w:ascii="Century Schoolbook L" w:hAnsi="Century Schoolbook L"/>
                <w:b w:val="false"/>
                <w:bCs w:val="false"/>
                <w:color w:val="222222"/>
                <w:sz w:val="22"/>
                <w:szCs w:val="22"/>
                <w:shd w:fill="FFFFFF" w:val="clear"/>
                <w:lang w:val="en" w:eastAsia="en-GB"/>
              </w:rPr>
              <w:t xml:space="preserve">Cameron Kemp circulated an email from Erik Lundberg of Kirkhill Community Centre regarding the initial maintenance costs for the Millennium Garden. </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p>
            <w:pPr>
              <w:pStyle w:val="Normal"/>
              <w:numPr>
                <w:ilvl w:val="0"/>
                <w:numId w:val="2"/>
              </w:numPr>
              <w:jc w:val="left"/>
              <w:rPr/>
            </w:pPr>
            <w:r>
              <w:rPr>
                <w:rFonts w:eastAsia="Times New Roman" w:cs="Tahoma" w:ascii="Century Schoolbook L" w:hAnsi="Century Schoolbook L"/>
                <w:b w:val="false"/>
                <w:bCs w:val="false"/>
                <w:color w:val="222222"/>
                <w:sz w:val="22"/>
                <w:szCs w:val="22"/>
                <w:shd w:fill="FFFFFF" w:val="clear"/>
                <w:lang w:val="en" w:eastAsia="en-GB"/>
              </w:rPr>
              <w:t xml:space="preserve">The fabric repairs remain to be costed. </w:t>
            </w:r>
          </w:p>
          <w:p>
            <w:pPr>
              <w:pStyle w:val="Normal"/>
              <w:numPr>
                <w:ilvl w:val="0"/>
                <w:numId w:val="2"/>
              </w:numPr>
              <w:jc w:val="left"/>
              <w:rPr/>
            </w:pPr>
            <w:r>
              <w:rPr>
                <w:rFonts w:eastAsia="Times New Roman" w:cs="Tahoma" w:ascii="Century Schoolbook L" w:hAnsi="Century Schoolbook L"/>
                <w:b w:val="false"/>
                <w:bCs w:val="false"/>
                <w:color w:val="222222"/>
                <w:sz w:val="22"/>
                <w:szCs w:val="22"/>
                <w:shd w:fill="FFFFFF" w:val="clear"/>
                <w:lang w:val="en" w:eastAsia="en-GB"/>
              </w:rPr>
              <w:t xml:space="preserve">The gardening estimate from David Hendry including significant cutting back, pruning and removal is  £525. Erik Lundberg would oversee the work. </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p>
            <w:pPr>
              <w:pStyle w:val="Normal"/>
              <w:jc w:val="left"/>
              <w:rPr/>
            </w:pPr>
            <w:r>
              <w:rPr>
                <w:rFonts w:eastAsia="Times New Roman" w:cs="Tahoma" w:ascii="Century Schoolbook L" w:hAnsi="Century Schoolbook L"/>
                <w:b w:val="false"/>
                <w:bCs w:val="false"/>
                <w:color w:val="222222"/>
                <w:sz w:val="22"/>
                <w:szCs w:val="22"/>
                <w:shd w:fill="FFFFFF" w:val="clear"/>
                <w:lang w:val="en" w:eastAsia="en-GB"/>
              </w:rPr>
              <w:t xml:space="preserve">The Community Council voted to fund the initial gardening phase of the Millenium Garden renewal,  amounting to £525.  An email is to be sent to Erik Lundberg by Cameron Kemp to confirm this. The Community Counci l will consider further the fabric repairs listed when in receipt of a quote. </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8. Inverness Area Community Councils Forum, 12</w:t>
            </w:r>
            <w:r>
              <w:rPr>
                <w:rFonts w:ascii="Century Schoolbook L" w:hAnsi="Century Schoolbook L"/>
                <w:b/>
                <w:bCs/>
                <w:sz w:val="22"/>
                <w:szCs w:val="22"/>
                <w:vertAlign w:val="superscript"/>
              </w:rPr>
              <w:t>th</w:t>
            </w:r>
            <w:r>
              <w:rPr>
                <w:rFonts w:ascii="Century Schoolbook L" w:hAnsi="Century Schoolbook L"/>
                <w:b/>
                <w:bCs/>
                <w:sz w:val="22"/>
                <w:szCs w:val="22"/>
              </w:rPr>
              <w:t xml:space="preserve"> December 2017</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val="false"/>
                <w:bCs w:val="false"/>
                <w:sz w:val="22"/>
                <w:szCs w:val="22"/>
              </w:rPr>
              <w:t xml:space="preserve">This event will be held from 6.30 for 7pm at Inverness Town House. Members are invited to attend. Noted.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9. Potholes</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val="false"/>
                <w:bCs w:val="false"/>
                <w:sz w:val="22"/>
                <w:szCs w:val="22"/>
              </w:rPr>
              <w:t xml:space="preserve">Ian Weir raised concerns via email about potholes on the roads leading out of Kirkhill </w:t>
            </w:r>
            <w:r>
              <w:rPr>
                <w:rFonts w:ascii="Century Schoolbook L" w:hAnsi="Century Schoolbook L"/>
                <w:sz w:val="22"/>
                <w:szCs w:val="22"/>
              </w:rPr>
              <w:t>between the Smiddy and Cononbank and  the Smiddy and Dumballoch. The Community Council will ask one of the Councillors to take this issue up.</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10. Damaged Wall at Wardlaw</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PreformattedText"/>
              <w:numPr>
                <w:ilvl w:val="0"/>
                <w:numId w:val="0"/>
              </w:numPr>
              <w:suppressAutoHyphens w:val="false"/>
              <w:spacing w:lineRule="auto" w:line="276" w:before="0" w:after="0"/>
              <w:ind w:left="0" w:right="0" w:hanging="0"/>
              <w:contextualSpacing/>
              <w:jc w:val="left"/>
              <w:rPr/>
            </w:pPr>
            <w:r>
              <w:rPr>
                <w:rFonts w:ascii="Century Schoolbook L" w:hAnsi="Century Schoolbook L"/>
                <w:b w:val="false"/>
                <w:bCs w:val="false"/>
                <w:sz w:val="22"/>
                <w:szCs w:val="22"/>
              </w:rPr>
              <w:t>Cllr. Emma Knox had been pursuing the issue of  trees encroaching into the fabric of the graveyard wall at Wardlaw. The officer who had been previously in contact with the Community Council, Jeff Fridge, has now retired. Hugh Gardiner is now the officer dealing with this and has informed Cllr. Emma Knox that the Wardlaw burial ground is now listed as “priority maintenance” under the Commutation Fund</w:t>
            </w:r>
            <w:r>
              <w:rPr/>
              <w:t>.</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11. Highland Veterans Handyperson Service</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This recently launched service for repairs in or around the home is available to veterans over 65 in this area. There is no charge for time or travel costs.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12. Rural Communities Convention, 1</w:t>
            </w:r>
            <w:r>
              <w:rPr>
                <w:rFonts w:ascii="Century Schoolbook L" w:hAnsi="Century Schoolbook L"/>
                <w:b/>
                <w:bCs/>
                <w:sz w:val="22"/>
                <w:szCs w:val="22"/>
                <w:vertAlign w:val="superscript"/>
              </w:rPr>
              <w:t>st</w:t>
            </w:r>
            <w:r>
              <w:rPr>
                <w:rFonts w:ascii="Century Schoolbook L" w:hAnsi="Century Schoolbook L"/>
                <w:b/>
                <w:bCs/>
                <w:sz w:val="22"/>
                <w:szCs w:val="22"/>
              </w:rPr>
              <w:t xml:space="preserve"> November 2017</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 xml:space="preserve">Cllr. Margaret Davidson attended this convention and community broadband was one of the items discussed. Alistair MacNeil said that he had heard that there is the possibility of a new broadband service at Newtonhill (Monsternet).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13. A.O.B.</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rFonts w:ascii="Century Schoolbook L" w:hAnsi="Century Schoolbook L"/>
                <w:b w:val="false"/>
                <w:bCs w:val="false"/>
                <w:sz w:val="22"/>
                <w:szCs w:val="22"/>
              </w:rPr>
              <w:t>Cameron Kemp received an email from Erik Lundberg advising that the Kirkhill Community Centre AGM is on Monday 11</w:t>
            </w:r>
            <w:r>
              <w:rPr>
                <w:rFonts w:ascii="Century Schoolbook L" w:hAnsi="Century Schoolbook L"/>
                <w:b w:val="false"/>
                <w:bCs w:val="false"/>
                <w:sz w:val="22"/>
                <w:szCs w:val="22"/>
                <w:vertAlign w:val="superscript"/>
              </w:rPr>
              <w:t>th</w:t>
            </w:r>
            <w:r>
              <w:rPr>
                <w:rFonts w:ascii="Century Schoolbook L" w:hAnsi="Century Schoolbook L"/>
                <w:b w:val="false"/>
                <w:bCs w:val="false"/>
                <w:sz w:val="22"/>
                <w:szCs w:val="22"/>
              </w:rPr>
              <w:t xml:space="preserve"> December 2017 at 7pm in the Williamson Room, Kirkhill Community Centre and is open to all members of the community.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9277" w:type="dxa"/>
            <w:tcBorders>
              <w:top w:val="nil"/>
            </w:tcBorders>
            <w:shd w:fill="auto" w:val="clear"/>
            <w:tcMar>
              <w:left w:w="-5" w:type="dxa"/>
            </w:tcMar>
          </w:tcPr>
          <w:p>
            <w:pPr>
              <w:pStyle w:val="ListParagraph"/>
              <w:numPr>
                <w:ilvl w:val="0"/>
                <w:numId w:val="0"/>
              </w:numPr>
              <w:spacing w:before="0" w:after="0"/>
              <w:ind w:left="0" w:right="0" w:hanging="0"/>
              <w:contextualSpacing/>
              <w:jc w:val="left"/>
              <w:rPr/>
            </w:pPr>
            <w:r>
              <w:rPr>
                <w:rFonts w:cs="Tahoma" w:ascii="Century Schoolbook L" w:hAnsi="Century Schoolbook L"/>
                <w:b/>
                <w:bCs/>
                <w:sz w:val="22"/>
                <w:szCs w:val="22"/>
              </w:rPr>
              <w:t>14. Dates of Future Meetings</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spacing w:before="0" w:after="0"/>
              <w:ind w:left="0" w:right="0" w:hanging="0"/>
              <w:contextualSpacing/>
              <w:jc w:val="left"/>
              <w:rPr/>
            </w:pPr>
            <w:r>
              <w:rPr>
                <w:rFonts w:cs="Tahoma" w:ascii="Century Schoolbook L" w:hAnsi="Century Schoolbook L"/>
                <w:sz w:val="22"/>
                <w:szCs w:val="22"/>
              </w:rPr>
              <w:t>Meetings have been provisionally scheduled as follows:</w:t>
            </w:r>
          </w:p>
          <w:p>
            <w:pPr>
              <w:pStyle w:val="ListParagraph"/>
              <w:spacing w:before="0" w:after="0"/>
              <w:ind w:left="0" w:right="0" w:hanging="0"/>
              <w:contextualSpacing/>
              <w:jc w:val="left"/>
              <w:rPr>
                <w:rFonts w:ascii="Century Schoolbook L" w:hAnsi="Century Schoolbook L" w:cs="Tahoma"/>
                <w:color w:val="000000"/>
                <w:sz w:val="22"/>
                <w:szCs w:val="22"/>
              </w:rPr>
            </w:pPr>
            <w:r>
              <w:rPr>
                <w:rFonts w:cs="Tahoma" w:ascii="Century Schoolbook L" w:hAnsi="Century Schoolbook L"/>
                <w:color w:val="000000"/>
                <w:sz w:val="22"/>
                <w:szCs w:val="22"/>
              </w:rPr>
            </w:r>
          </w:p>
          <w:p>
            <w:pPr>
              <w:pStyle w:val="NormalWeb"/>
              <w:numPr>
                <w:ilvl w:val="0"/>
                <w:numId w:val="1"/>
              </w:numPr>
              <w:spacing w:before="0" w:after="0"/>
              <w:ind w:left="1440" w:right="0" w:hanging="0"/>
              <w:jc w:val="left"/>
              <w:rPr/>
            </w:pPr>
            <w:r>
              <w:rPr>
                <w:rFonts w:cs="Tahoma" w:ascii="Century Schoolbook L" w:hAnsi="Century Schoolbook L"/>
                <w:b w:val="false"/>
                <w:bCs w:val="false"/>
                <w:color w:val="000000"/>
                <w:sz w:val="22"/>
                <w:szCs w:val="22"/>
              </w:rPr>
              <w:t>9 Jan 18</w:t>
            </w:r>
          </w:p>
          <w:p>
            <w:pPr>
              <w:pStyle w:val="NormalWeb"/>
              <w:numPr>
                <w:ilvl w:val="0"/>
                <w:numId w:val="0"/>
              </w:numPr>
              <w:spacing w:before="0" w:after="0"/>
              <w:ind w:left="1440" w:right="0" w:hanging="0"/>
              <w:jc w:val="left"/>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cs="Tahoma"/>
              </w:rPr>
            </w:pPr>
            <w:r>
              <w:rPr>
                <w:rFonts w:cs="Tahoma"/>
              </w:rPr>
            </w:r>
          </w:p>
        </w:tc>
      </w:tr>
    </w:tbl>
    <w:p>
      <w:pPr>
        <w:pStyle w:val="Normal"/>
        <w:rPr>
          <w:rFonts w:ascii="Century Schoolbook L" w:hAnsi="Century Schoolbook L" w:cs="Tahoma"/>
        </w:rPr>
      </w:pPr>
      <w:r>
        <w:rPr>
          <w:rFonts w:cs="Tahoma" w:ascii="Century Schoolbook L" w:hAnsi="Century Schoolbook L"/>
        </w:rPr>
      </w:r>
    </w:p>
    <w:p>
      <w:pPr>
        <w:pStyle w:val="Normal"/>
        <w:jc w:val="center"/>
        <w:rPr/>
      </w:pPr>
      <w:r>
        <w:rPr>
          <w:rFonts w:cs="Tahoma" w:ascii="Century Schoolbook L" w:hAnsi="Century Schoolbook L"/>
          <w:b/>
        </w:rPr>
        <w:t>The next meeting is on Tuesday 9</w:t>
      </w:r>
      <w:r>
        <w:rPr>
          <w:rFonts w:cs="Tahoma" w:ascii="Century Schoolbook L" w:hAnsi="Century Schoolbook L"/>
          <w:b/>
          <w:vertAlign w:val="superscript"/>
        </w:rPr>
        <w:t>th</w:t>
      </w:r>
      <w:r>
        <w:rPr>
          <w:rFonts w:cs="Tahoma" w:ascii="Century Schoolbook L" w:hAnsi="Century Schoolbook L"/>
          <w:b/>
        </w:rPr>
        <w:t xml:space="preserve"> January 2018 at 7:30pm in the Old North Inn</w:t>
      </w:r>
    </w:p>
    <w:sectPr>
      <w:headerReference w:type="default" r:id="rId2"/>
      <w:footerReference w:type="default" r:id="rId3"/>
      <w:type w:val="nextPage"/>
      <w:pgSz w:w="11909" w:h="16834"/>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0" distR="0" simplePos="0" locked="0" layoutInCell="1" allowOverlap="1" relativeHeight="8">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2">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b w:val="false"/>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b w:val="false"/>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LibreOffice/4.4.7.2$Linux_x86 LibreOffice_project/40$Build-2</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2017-12-06T22:25:17Z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